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Bredenfelde über die E</w:t>
      </w:r>
      <w:r w:rsidRPr="009C6F7B">
        <w:rPr>
          <w:rFonts w:ascii="Times New Roman" w:hAnsi="Times New Roman" w:cs="Times New Roman"/>
          <w:b/>
          <w:sz w:val="24"/>
          <w:szCs w:val="24"/>
        </w:rPr>
        <w:t>rhebung von Gebühren zur Deckung der Verbandsbeiträge des Wasser- und Bodenverbandes „Obere Peene“</w:t>
      </w:r>
      <w:r w:rsidR="007D2E74">
        <w:rPr>
          <w:rFonts w:ascii="Times New Roman" w:hAnsi="Times New Roman" w:cs="Times New Roman"/>
          <w:b/>
          <w:sz w:val="24"/>
          <w:szCs w:val="24"/>
        </w:rPr>
        <w:t xml:space="preserve">  Neukalen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B54581" w:rsidRPr="009C6F7B">
        <w:rPr>
          <w:rFonts w:ascii="Times New Roman" w:hAnsi="Times New Roman" w:cs="Times New Roman"/>
          <w:sz w:val="24"/>
          <w:szCs w:val="24"/>
        </w:rPr>
        <w:t>,sowie der §§ 1,2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A146F8" w:rsidRPr="009C6F7B">
        <w:rPr>
          <w:rFonts w:ascii="Times New Roman" w:hAnsi="Times New Roman" w:cs="Times New Roman"/>
          <w:b/>
          <w:sz w:val="24"/>
          <w:szCs w:val="24"/>
        </w:rPr>
        <w:t>Bredenfelde vom</w:t>
      </w:r>
      <w:r w:rsidR="00453107">
        <w:rPr>
          <w:rFonts w:ascii="Times New Roman" w:hAnsi="Times New Roman" w:cs="Times New Roman"/>
          <w:b/>
          <w:sz w:val="24"/>
          <w:szCs w:val="24"/>
        </w:rPr>
        <w:t xml:space="preserve"> 30.11.2</w:t>
      </w:r>
      <w:r w:rsidR="00A146F8" w:rsidRPr="009C6F7B">
        <w:rPr>
          <w:rFonts w:ascii="Times New Roman" w:hAnsi="Times New Roman" w:cs="Times New Roman"/>
          <w:b/>
          <w:sz w:val="24"/>
          <w:szCs w:val="24"/>
        </w:rPr>
        <w:t xml:space="preserve">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905EEC" w:rsidRPr="009C6F7B" w:rsidRDefault="00905EEC"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Die Gemeinde Bredenfelde ist gemäß § 2 GUVG für die der Grundsteuerpflicht unterliegenden Flächen gesetzliches Mitglied des Wasser- und Bodenver</w:t>
      </w:r>
      <w:r w:rsidR="007D2E74">
        <w:rPr>
          <w:rFonts w:ascii="Times New Roman" w:hAnsi="Times New Roman" w:cs="Times New Roman"/>
          <w:sz w:val="24"/>
          <w:szCs w:val="24"/>
        </w:rPr>
        <w:t>bandes „Obere Peene“ Neukalen</w:t>
      </w:r>
      <w:r w:rsidR="007E4FAD" w:rsidRPr="009C6F7B">
        <w:rPr>
          <w:rFonts w:ascii="Times New Roman" w:hAnsi="Times New Roman" w:cs="Times New Roman"/>
          <w:sz w:val="24"/>
          <w:szCs w:val="24"/>
        </w:rPr>
        <w:t>, der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wahrnimmt.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BC4D56" w:rsidP="00BC4D56">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Gemeinde hat dem Verband „Obere Peene“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7D2E74">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lastRenderedPageBreak/>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 xml:space="preserve">und 4 </w:t>
      </w:r>
      <w:r w:rsidR="005F4F71" w:rsidRPr="009C6F7B">
        <w:rPr>
          <w:rFonts w:ascii="Times New Roman" w:hAnsi="Times New Roman" w:cs="Times New Roman"/>
          <w:sz w:val="24"/>
          <w:szCs w:val="24"/>
        </w:rPr>
        <w:t>nach der Größe,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D2F06" w:rsidRPr="009C6F7B"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Die Gebühr wird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Grundlage der Errechnung ist die zur Satzung </w:t>
      </w:r>
      <w:r w:rsidR="00F874C9">
        <w:rPr>
          <w:rFonts w:ascii="Times New Roman" w:hAnsi="Times New Roman" w:cs="Times New Roman"/>
          <w:sz w:val="24"/>
          <w:szCs w:val="24"/>
        </w:rPr>
        <w:t xml:space="preserve">erhobene Veranlagungsregel </w:t>
      </w:r>
      <w:r w:rsidR="00845AF2" w:rsidRPr="009C6F7B">
        <w:rPr>
          <w:rFonts w:ascii="Times New Roman" w:hAnsi="Times New Roman" w:cs="Times New Roman"/>
          <w:sz w:val="24"/>
          <w:szCs w:val="24"/>
        </w:rPr>
        <w:t>des jeweiligen Wasser- und Bodenverbandes</w:t>
      </w:r>
      <w:r w:rsidR="00F874C9">
        <w:rPr>
          <w:rFonts w:ascii="Times New Roman" w:hAnsi="Times New Roman" w:cs="Times New Roman"/>
          <w:sz w:val="24"/>
          <w:szCs w:val="24"/>
        </w:rPr>
        <w:t xml:space="preserve"> (siehe Anlage), in dessen Einzugsbereiche sich die Flächen befinden.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Die jährliche Gebühr für den Wasser- und Bodenverband „Obere Peene“</w:t>
      </w:r>
      <w:r w:rsidR="001E6C7C">
        <w:rPr>
          <w:rFonts w:ascii="Times New Roman" w:hAnsi="Times New Roman" w:cs="Times New Roman"/>
          <w:sz w:val="24"/>
          <w:szCs w:val="24"/>
        </w:rPr>
        <w:t xml:space="preserve"> </w:t>
      </w:r>
      <w:r w:rsidR="007D2E74">
        <w:rPr>
          <w:rFonts w:ascii="Times New Roman" w:hAnsi="Times New Roman" w:cs="Times New Roman"/>
          <w:sz w:val="24"/>
          <w:szCs w:val="24"/>
        </w:rPr>
        <w:t>Neukalen</w:t>
      </w:r>
      <w:r w:rsidR="00845AF2" w:rsidRPr="009C6F7B">
        <w:rPr>
          <w:rFonts w:ascii="Times New Roman" w:hAnsi="Times New Roman" w:cs="Times New Roman"/>
          <w:sz w:val="24"/>
          <w:szCs w:val="24"/>
        </w:rPr>
        <w:t xml:space="preserve"> wird wie folgt festgesetzt:</w:t>
      </w:r>
    </w:p>
    <w:p w:rsidR="0038249B" w:rsidRDefault="0038249B" w:rsidP="002D2F06">
      <w:pPr>
        <w:tabs>
          <w:tab w:val="left" w:pos="426"/>
        </w:tabs>
        <w:spacing w:after="0" w:line="240" w:lineRule="auto"/>
        <w:jc w:val="both"/>
        <w:rPr>
          <w:rFonts w:ascii="Times New Roman" w:hAnsi="Times New Roman" w:cs="Times New Roman"/>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Pr="0038249B">
        <w:rPr>
          <w:rFonts w:ascii="Times New Roman" w:hAnsi="Times New Roman" w:cs="Times New Roman"/>
          <w:b/>
          <w:sz w:val="24"/>
          <w:szCs w:val="24"/>
        </w:rPr>
        <w:t>8,06 €</w:t>
      </w:r>
      <w:r>
        <w:rPr>
          <w:rFonts w:ascii="Times New Roman" w:hAnsi="Times New Roman" w:cs="Times New Roman"/>
          <w:sz w:val="24"/>
          <w:szCs w:val="24"/>
        </w:rPr>
        <w:t xml:space="preserve"> für Grundstücke</w:t>
      </w:r>
      <w:r w:rsidR="007D2E74">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F874C9">
        <w:rPr>
          <w:rFonts w:ascii="Times New Roman" w:hAnsi="Times New Roman" w:cs="Times New Roman"/>
          <w:sz w:val="24"/>
          <w:szCs w:val="24"/>
        </w:rPr>
        <w:t xml:space="preserve">über </w:t>
      </w:r>
      <w:r>
        <w:rPr>
          <w:rFonts w:ascii="Times New Roman" w:hAnsi="Times New Roman" w:cs="Times New Roman"/>
          <w:sz w:val="24"/>
          <w:szCs w:val="24"/>
        </w:rPr>
        <w:t>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874C9"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jeweiligen Wasser- und Bodenverband für den Ausbau und die Unterhaltung besonderer Wasserregelungsanlagen (Deiche, Schöpfwerke) und Rohrleitungszuschläge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Default="00905EEC" w:rsidP="00AA32A5">
      <w:pPr>
        <w:tabs>
          <w:tab w:val="left" w:pos="426"/>
        </w:tabs>
        <w:rPr>
          <w:rFonts w:ascii="Times New Roman" w:hAnsi="Times New Roman" w:cs="Times New Roman"/>
          <w:sz w:val="24"/>
          <w:szCs w:val="24"/>
        </w:rPr>
      </w:pPr>
    </w:p>
    <w:p w:rsidR="00F874C9" w:rsidRPr="009C6F7B" w:rsidRDefault="00F874C9"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Diese Satzung tritt zum 1. Januar 2018 in Kraft. Gleichzeitig tritt die Satzung über die Erhebung von Gebühren zur Deckung der Verbandsbeiträge des Wasser- und Bodenverbandes „Obere Peene“ Stavenhagen vom</w:t>
      </w:r>
      <w:r w:rsidR="00F874C9">
        <w:rPr>
          <w:rFonts w:ascii="Times New Roman" w:hAnsi="Times New Roman" w:cs="Times New Roman"/>
          <w:sz w:val="24"/>
          <w:szCs w:val="24"/>
        </w:rPr>
        <w:t>12.08.2002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Bredenfelde, den</w:t>
      </w:r>
      <w:r w:rsidR="00453107">
        <w:rPr>
          <w:rFonts w:ascii="Times New Roman" w:hAnsi="Times New Roman" w:cs="Times New Roman"/>
          <w:sz w:val="24"/>
          <w:szCs w:val="24"/>
        </w:rPr>
        <w:t xml:space="preserve"> 30.11.2017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Petra Willer</w:t>
      </w: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Bürgermeisterin</w:t>
      </w:r>
      <w:r w:rsidR="00221BBD">
        <w:rPr>
          <w:rFonts w:ascii="Times New Roman" w:hAnsi="Times New Roman" w:cs="Times New Roman"/>
          <w:sz w:val="24"/>
          <w:szCs w:val="24"/>
        </w:rPr>
        <w:t xml:space="preserve">                                                                -   S i e g e l   </w:t>
      </w:r>
      <w:bookmarkStart w:id="0" w:name="_GoBack"/>
      <w:bookmarkEnd w:id="0"/>
      <w:r w:rsidR="00221BBD">
        <w:rPr>
          <w:rFonts w:ascii="Times New Roman" w:hAnsi="Times New Roman" w:cs="Times New Roman"/>
          <w:sz w:val="24"/>
          <w:szCs w:val="24"/>
        </w:rPr>
        <w:t>-</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CC" w:rsidRDefault="000230CC" w:rsidP="0038249B">
      <w:pPr>
        <w:spacing w:after="0" w:line="240" w:lineRule="auto"/>
      </w:pPr>
      <w:r>
        <w:separator/>
      </w:r>
    </w:p>
  </w:endnote>
  <w:endnote w:type="continuationSeparator" w:id="0">
    <w:p w:rsidR="000230CC" w:rsidRDefault="000230CC"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CC" w:rsidRDefault="000230CC" w:rsidP="0038249B">
      <w:pPr>
        <w:spacing w:after="0" w:line="240" w:lineRule="auto"/>
      </w:pPr>
      <w:r>
        <w:separator/>
      </w:r>
    </w:p>
  </w:footnote>
  <w:footnote w:type="continuationSeparator" w:id="0">
    <w:p w:rsidR="000230CC" w:rsidRDefault="000230CC"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4"/>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230CC"/>
    <w:rsid w:val="00040A7B"/>
    <w:rsid w:val="000F551E"/>
    <w:rsid w:val="00195E59"/>
    <w:rsid w:val="001A52A1"/>
    <w:rsid w:val="001E6C7C"/>
    <w:rsid w:val="00217541"/>
    <w:rsid w:val="00221BBD"/>
    <w:rsid w:val="00240852"/>
    <w:rsid w:val="00245451"/>
    <w:rsid w:val="002B78F1"/>
    <w:rsid w:val="002D2F06"/>
    <w:rsid w:val="0034428F"/>
    <w:rsid w:val="0038249B"/>
    <w:rsid w:val="004433DD"/>
    <w:rsid w:val="00453107"/>
    <w:rsid w:val="00454456"/>
    <w:rsid w:val="00461352"/>
    <w:rsid w:val="004667CC"/>
    <w:rsid w:val="00494546"/>
    <w:rsid w:val="004E0CD9"/>
    <w:rsid w:val="005F4F71"/>
    <w:rsid w:val="00700CDF"/>
    <w:rsid w:val="00775CA5"/>
    <w:rsid w:val="007C419C"/>
    <w:rsid w:val="007D2E74"/>
    <w:rsid w:val="007E4FAD"/>
    <w:rsid w:val="00845AF2"/>
    <w:rsid w:val="00905EEC"/>
    <w:rsid w:val="00947320"/>
    <w:rsid w:val="009C6F7B"/>
    <w:rsid w:val="00A146F8"/>
    <w:rsid w:val="00AA32A5"/>
    <w:rsid w:val="00AE245B"/>
    <w:rsid w:val="00B53FC7"/>
    <w:rsid w:val="00B54581"/>
    <w:rsid w:val="00BC4D56"/>
    <w:rsid w:val="00BE224D"/>
    <w:rsid w:val="00C8717E"/>
    <w:rsid w:val="00D6482D"/>
    <w:rsid w:val="00E6043B"/>
    <w:rsid w:val="00E802B7"/>
    <w:rsid w:val="00F87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2017-11-30T09:42:00Z</cp:lastPrinted>
  <dcterms:created xsi:type="dcterms:W3CDTF">2017-10-17T06:14:00Z</dcterms:created>
  <dcterms:modified xsi:type="dcterms:W3CDTF">2017-11-30T10:07:00Z</dcterms:modified>
</cp:coreProperties>
</file>